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F682" w14:textId="10ABCA44" w:rsidR="002148CE" w:rsidRDefault="00E1027C" w:rsidP="002148CE">
      <w:pPr>
        <w:pStyle w:val="Default"/>
        <w:jc w:val="center"/>
        <w:rPr>
          <w:b/>
        </w:rPr>
      </w:pPr>
      <w:r>
        <w:rPr>
          <w:b/>
        </w:rPr>
        <w:t>Описание</w:t>
      </w:r>
      <w:r w:rsidR="002148CE" w:rsidRPr="002148CE">
        <w:rPr>
          <w:b/>
        </w:rPr>
        <w:t xml:space="preserve"> образовательной программы</w:t>
      </w:r>
    </w:p>
    <w:p w14:paraId="189FAA60" w14:textId="77777777" w:rsidR="002148CE" w:rsidRPr="002148CE" w:rsidRDefault="002148CE" w:rsidP="002148CE">
      <w:pPr>
        <w:pStyle w:val="Default"/>
        <w:jc w:val="center"/>
        <w:rPr>
          <w:b/>
        </w:rPr>
      </w:pPr>
    </w:p>
    <w:p w14:paraId="4057F3DA" w14:textId="77777777" w:rsidR="00B949D2" w:rsidRPr="004B7ACA" w:rsidRDefault="00B949D2" w:rsidP="00B949D2">
      <w:pPr>
        <w:pStyle w:val="Default"/>
        <w:ind w:firstLine="567"/>
        <w:jc w:val="both"/>
      </w:pPr>
      <w:r w:rsidRPr="004B7ACA">
        <w:t xml:space="preserve">Дополнительная образовательная программа профессиональной переподготовки </w:t>
      </w:r>
      <w:r>
        <w:t>«</w:t>
      </w:r>
      <w:r w:rsidRPr="002148CE">
        <w:rPr>
          <w:b/>
        </w:rPr>
        <w:t>Телеоператор</w:t>
      </w:r>
      <w:r>
        <w:t>»</w:t>
      </w:r>
      <w:r w:rsidR="002148CE">
        <w:t xml:space="preserve"> </w:t>
      </w:r>
      <w:r w:rsidRPr="004B7ACA">
        <w:t>разработан</w:t>
      </w:r>
      <w:r w:rsidR="002148CE">
        <w:t>а</w:t>
      </w:r>
      <w:r w:rsidRPr="004B7ACA">
        <w:t xml:space="preserve"> на основе Федерального государственного образовательного стандарта высшего образования </w:t>
      </w:r>
      <w:r w:rsidRPr="007266D4">
        <w:rPr>
          <w:color w:val="auto"/>
        </w:rPr>
        <w:t xml:space="preserve">специальности 55.05.03 Кинооператорство (утв. приказом Министерства образования и науки Российской Федерации от 23 августа 2017 года № 821)  и направления </w:t>
      </w:r>
      <w:r w:rsidRPr="007266D4">
        <w:rPr>
          <w:bCs/>
          <w:color w:val="auto"/>
        </w:rPr>
        <w:t>42.03.04 Телевидение</w:t>
      </w:r>
      <w:r w:rsidRPr="007266D4">
        <w:rPr>
          <w:color w:val="auto"/>
        </w:rPr>
        <w:t xml:space="preserve"> (утв. приказом Министерства образования и науки Российской </w:t>
      </w:r>
      <w:r w:rsidRPr="004B7ACA">
        <w:rPr>
          <w:color w:val="auto"/>
        </w:rPr>
        <w:t xml:space="preserve">Федерации от 07 августа 2014 года № 945). </w:t>
      </w:r>
    </w:p>
    <w:p w14:paraId="0932B6E9" w14:textId="77777777" w:rsidR="00B949D2" w:rsidRPr="002148CE" w:rsidRDefault="00B949D2" w:rsidP="00B949D2">
      <w:pPr>
        <w:pStyle w:val="Default"/>
        <w:ind w:firstLine="567"/>
        <w:jc w:val="both"/>
        <w:rPr>
          <w:b/>
          <w:color w:val="auto"/>
          <w:sz w:val="23"/>
          <w:szCs w:val="23"/>
        </w:rPr>
      </w:pPr>
      <w:r w:rsidRPr="002148CE">
        <w:rPr>
          <w:b/>
          <w:color w:val="auto"/>
          <w:sz w:val="23"/>
          <w:szCs w:val="23"/>
        </w:rPr>
        <w:t xml:space="preserve">Цель программы: </w:t>
      </w:r>
    </w:p>
    <w:p w14:paraId="799FAB68" w14:textId="77777777" w:rsidR="00B949D2" w:rsidRPr="0065553A" w:rsidRDefault="00B949D2" w:rsidP="00B949D2">
      <w:pPr>
        <w:pStyle w:val="Default"/>
        <w:ind w:firstLine="567"/>
        <w:jc w:val="both"/>
        <w:rPr>
          <w:color w:val="FF0000"/>
        </w:rPr>
      </w:pPr>
      <w:r w:rsidRPr="00603ED2">
        <w:rPr>
          <w:color w:val="auto"/>
          <w:sz w:val="23"/>
          <w:szCs w:val="23"/>
        </w:rPr>
        <w:t xml:space="preserve">подготовка высококвалифицированных и конкурентоспособных специалистов для  </w:t>
      </w:r>
      <w:r w:rsidRPr="00603ED2">
        <w:rPr>
          <w:color w:val="auto"/>
        </w:rPr>
        <w:t xml:space="preserve">сферы массовой информации и коммуникации для работы в организациях и на предприятиях, обеспечивающих телевещание и производство </w:t>
      </w:r>
      <w:r w:rsidRPr="0065553A">
        <w:t>телепередач</w:t>
      </w:r>
      <w:r>
        <w:t>.</w:t>
      </w:r>
    </w:p>
    <w:p w14:paraId="7D7FBFC5" w14:textId="77777777" w:rsidR="00B949D2" w:rsidRPr="00D809EC" w:rsidRDefault="00B949D2" w:rsidP="00B949D2">
      <w:pPr>
        <w:pStyle w:val="Default"/>
        <w:ind w:firstLine="567"/>
        <w:jc w:val="both"/>
        <w:rPr>
          <w:color w:val="auto"/>
        </w:rPr>
      </w:pPr>
      <w:r w:rsidRPr="00D809EC">
        <w:rPr>
          <w:color w:val="auto"/>
        </w:rPr>
        <w:t xml:space="preserve">К освоению дополнительной профессиональной программы допускаются: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28ECE6AC" w14:textId="77777777" w:rsidR="00B949D2" w:rsidRPr="0065553A" w:rsidRDefault="00B949D2" w:rsidP="00B949D2">
      <w:pPr>
        <w:pStyle w:val="consplusnormal"/>
        <w:spacing w:before="0" w:beforeAutospacing="0" w:after="0" w:afterAutospacing="0"/>
        <w:ind w:firstLine="540"/>
        <w:jc w:val="both"/>
      </w:pPr>
      <w:r w:rsidRPr="002148CE">
        <w:rPr>
          <w:b/>
        </w:rPr>
        <w:t>Область профессиональной деятельности</w:t>
      </w:r>
      <w:r w:rsidRPr="0065553A">
        <w:t xml:space="preserve"> выпускников, освоивших </w:t>
      </w:r>
      <w:r w:rsidR="002148CE">
        <w:t>программу</w:t>
      </w:r>
      <w:r w:rsidRPr="0065553A">
        <w:t>, включает:</w:t>
      </w:r>
    </w:p>
    <w:p w14:paraId="235A22F0" w14:textId="77777777" w:rsidR="00B949D2" w:rsidRPr="00A14522" w:rsidRDefault="00B949D2" w:rsidP="00B949D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процессе художественно-творческой и производственной работы аудиовизуального произведения;</w:t>
      </w:r>
    </w:p>
    <w:p w14:paraId="53FB0B7B" w14:textId="77777777" w:rsidR="00B949D2" w:rsidRDefault="00B949D2" w:rsidP="00B949D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 кино- и телеорганизациях.</w:t>
      </w:r>
    </w:p>
    <w:p w14:paraId="60F453A9" w14:textId="77777777" w:rsidR="004A3643" w:rsidRDefault="004A3643" w:rsidP="004A3643">
      <w:pPr>
        <w:pStyle w:val="consplusnormal"/>
        <w:spacing w:before="0" w:beforeAutospacing="0" w:after="0" w:afterAutospacing="0"/>
        <w:ind w:firstLine="567"/>
        <w:jc w:val="both"/>
      </w:pPr>
      <w:r w:rsidRPr="002148CE">
        <w:rPr>
          <w:b/>
        </w:rPr>
        <w:t>Объектами профессиональной деятельности</w:t>
      </w:r>
      <w:r w:rsidRPr="0065553A">
        <w:t xml:space="preserve"> выпускников, освоивших программу, являются:</w:t>
      </w:r>
    </w:p>
    <w:p w14:paraId="183A5C67" w14:textId="77777777" w:rsidR="00B949D2" w:rsidRPr="00B949D2" w:rsidRDefault="00B949D2" w:rsidP="004A3643">
      <w:pPr>
        <w:pStyle w:val="a6"/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D2">
        <w:rPr>
          <w:rFonts w:ascii="Times New Roman" w:hAnsi="Times New Roman" w:cs="Times New Roman"/>
          <w:color w:val="000000"/>
          <w:sz w:val="24"/>
          <w:szCs w:val="24"/>
        </w:rPr>
        <w:t>кино-, теле- видеостудии и другие кинематографические и телевизионные организации, радио, издательства, редакции газет и журналов, отделы искусств средств массовой информации, научно-исследовательские институты и лаборатории.</w:t>
      </w:r>
    </w:p>
    <w:p w14:paraId="11F7A560" w14:textId="77777777" w:rsidR="00B949D2" w:rsidRPr="00817CA4" w:rsidRDefault="00B949D2" w:rsidP="00B949D2">
      <w:pPr>
        <w:pStyle w:val="consplusnormal"/>
        <w:spacing w:before="0" w:beforeAutospacing="0" w:after="0" w:afterAutospacing="0"/>
        <w:ind w:firstLine="567"/>
        <w:jc w:val="both"/>
      </w:pPr>
      <w:r w:rsidRPr="00817CA4">
        <w:t xml:space="preserve">Выпускник, освоивший программу, должен быть готов решать следующие </w:t>
      </w:r>
      <w:r w:rsidRPr="002148CE">
        <w:rPr>
          <w:b/>
        </w:rPr>
        <w:t>профессиональные задачи</w:t>
      </w:r>
      <w:r w:rsidRPr="00817CA4">
        <w:t>:</w:t>
      </w:r>
    </w:p>
    <w:p w14:paraId="64901210" w14:textId="77777777" w:rsidR="004A3643" w:rsidRPr="004A3643" w:rsidRDefault="004A3643" w:rsidP="004A3643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3643">
        <w:rPr>
          <w:color w:val="000000"/>
        </w:rPr>
        <w:t>создание и публичный показ игровых телевизионных, театральных постановок, спортивных телевизионных передач, документальных фильмов, сюжетов для телепереодики, видеоочерков, видеорепортажей, ток шоу, концертов, обеспечение их высокого художественного уровня, участие в работе по пропаганде кинотелеискусства, привлечению зрителей к сотрудничеству с режиссёром-постановщиком, кинодраматургом, художником, артистами, композитором, звукорежиссёром, продюсером и другими участниками съёмочной группы;</w:t>
      </w:r>
    </w:p>
    <w:p w14:paraId="0611E6E1" w14:textId="77777777" w:rsidR="004A3643" w:rsidRPr="004A3643" w:rsidRDefault="004A3643" w:rsidP="004A3643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3643">
        <w:rPr>
          <w:color w:val="000000"/>
        </w:rPr>
        <w:t>использование техники художественного киноосвещения в павильоне, в интерьерах и на натуре, техники кинопортретной съёмки кинематографа, комбинированных и специальных съёмок, а также цифровых технологий и компьютерной графики, средств специальной операторской съёмочной техники, современной техники звуковой и репортажной съемки, техники съёмки в любом профессиональном формате с разрешением не менее чем 4К, постановочных и документальных методов съёмок при соблюдении правил техники безопасности и противопожарной защиты;</w:t>
      </w:r>
    </w:p>
    <w:p w14:paraId="77D2EAE6" w14:textId="77777777" w:rsidR="004A3643" w:rsidRPr="001D5426" w:rsidRDefault="004A3643" w:rsidP="004A3643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426">
        <w:rPr>
          <w:color w:val="000000"/>
        </w:rPr>
        <w:t>использование техники освещения при документальной и игровой съёмке, в интерьерах и на натуре, техники кинопортретной съёмки, комбинированных и специальных съёмок, цифровых технологий и компьютерной графики, средств специальной операторской съёмочной техники; современной техники звуковой и репортажной съёмки; техники съёмки в любом профессиональном формате с разрешением не менее чем 1920x1080 элементов изображения, производство постановочных и документальных методов съёмок при соблюдении правил техники безопасности и противопожарной защиты.</w:t>
      </w:r>
    </w:p>
    <w:p w14:paraId="718A7D5A" w14:textId="77777777" w:rsidR="001D5426" w:rsidRPr="001D5426" w:rsidRDefault="001D5426" w:rsidP="001D5426">
      <w:pPr>
        <w:pStyle w:val="s1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1D5426">
        <w:rPr>
          <w:color w:val="000000"/>
        </w:rPr>
        <w:lastRenderedPageBreak/>
        <w:t>работа в создании документальных фильмов, сюжетов для телепереодики, видеоочерков, видеорепортажей, ток шоу, концертов, театральных постановок, спортивных передач;</w:t>
      </w:r>
    </w:p>
    <w:p w14:paraId="68F7D303" w14:textId="77777777" w:rsidR="001D5426" w:rsidRPr="001D5426" w:rsidRDefault="001D5426" w:rsidP="001D5426">
      <w:pPr>
        <w:pStyle w:val="s1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1D5426">
        <w:rPr>
          <w:color w:val="000000"/>
        </w:rPr>
        <w:t>постановка телефильма в сотрудничестве с режиссером-постановщиком, кинодраматургом, художником, артистами, композитором, звукорежиссером, продюсером и другими участниками съемочной группы;</w:t>
      </w:r>
    </w:p>
    <w:p w14:paraId="06671AE5" w14:textId="77777777" w:rsidR="001D5426" w:rsidRPr="001D5426" w:rsidRDefault="001D5426" w:rsidP="001D5426">
      <w:pPr>
        <w:pStyle w:val="s1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1D5426">
        <w:rPr>
          <w:color w:val="000000"/>
        </w:rPr>
        <w:t>использование техники освещения при документальной съемке; использование техники художественного киноосвещения в кино-, телепавильоне, в интерьерах и на натуре;</w:t>
      </w:r>
    </w:p>
    <w:p w14:paraId="3C7F7FE2" w14:textId="77777777" w:rsidR="001D5426" w:rsidRPr="001D5426" w:rsidRDefault="001D5426" w:rsidP="001D5426">
      <w:pPr>
        <w:pStyle w:val="s1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1D5426">
        <w:rPr>
          <w:color w:val="000000"/>
        </w:rPr>
        <w:t>использование техники комбинированных и специальных съемок, цифровых технологий и компьютерной графики;</w:t>
      </w:r>
    </w:p>
    <w:p w14:paraId="0259DFE4" w14:textId="77777777" w:rsidR="001D5426" w:rsidRPr="001D5426" w:rsidRDefault="001D5426" w:rsidP="001D5426">
      <w:pPr>
        <w:pStyle w:val="s1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1D5426">
        <w:rPr>
          <w:color w:val="000000"/>
        </w:rPr>
        <w:t>использование средства специальной операторской съемочной техники; использование современной техники звуковой и репортажной съемки; использование техники съемки в любом профессиональном формате; использование постановочных и документальных методов съемок; анализ творческого процесса как объекта управления;</w:t>
      </w:r>
    </w:p>
    <w:p w14:paraId="4CEED8B0" w14:textId="77777777" w:rsidR="001D5426" w:rsidRDefault="001D5426" w:rsidP="002148CE">
      <w:pPr>
        <w:pStyle w:val="s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426">
        <w:rPr>
          <w:color w:val="000000"/>
        </w:rPr>
        <w:t>организация творческо-производственной подготовки к съемке телефильма; организация съемочно-постановочной работы над телефильмом; взаимоотношения с представителями других творческих профессий в съемочном коллективе.</w:t>
      </w:r>
    </w:p>
    <w:p w14:paraId="01FBADE3" w14:textId="77777777" w:rsidR="002148CE" w:rsidRDefault="002148CE" w:rsidP="002148CE">
      <w:pPr>
        <w:pStyle w:val="Default"/>
        <w:ind w:left="360"/>
        <w:jc w:val="both"/>
        <w:rPr>
          <w:b/>
          <w:color w:val="auto"/>
          <w:sz w:val="23"/>
          <w:szCs w:val="23"/>
        </w:rPr>
      </w:pPr>
    </w:p>
    <w:p w14:paraId="2F4A8EB2" w14:textId="7C34225E" w:rsidR="002148CE" w:rsidRDefault="002148CE" w:rsidP="002148CE">
      <w:pPr>
        <w:pStyle w:val="Default"/>
        <w:ind w:left="360"/>
        <w:jc w:val="both"/>
        <w:rPr>
          <w:color w:val="auto"/>
          <w:sz w:val="23"/>
          <w:szCs w:val="23"/>
        </w:rPr>
      </w:pPr>
      <w:r w:rsidRPr="002148CE">
        <w:rPr>
          <w:b/>
          <w:color w:val="auto"/>
          <w:sz w:val="23"/>
          <w:szCs w:val="23"/>
        </w:rPr>
        <w:t>Срок освоения программы</w:t>
      </w:r>
      <w:r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>«Телеоператор»</w:t>
      </w:r>
      <w:r>
        <w:rPr>
          <w:color w:val="auto"/>
          <w:sz w:val="23"/>
          <w:szCs w:val="23"/>
        </w:rPr>
        <w:t xml:space="preserve"> составляет 1</w:t>
      </w:r>
      <w:r w:rsidR="00E1027C"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 xml:space="preserve"> месяцев.</w:t>
      </w:r>
    </w:p>
    <w:p w14:paraId="5A51031A" w14:textId="0DD7A38E" w:rsidR="002148CE" w:rsidRDefault="002148CE" w:rsidP="002148CE">
      <w:pPr>
        <w:pStyle w:val="Default"/>
        <w:ind w:left="360"/>
        <w:jc w:val="both"/>
        <w:rPr>
          <w:color w:val="auto"/>
          <w:sz w:val="23"/>
          <w:szCs w:val="23"/>
        </w:rPr>
      </w:pPr>
      <w:r w:rsidRPr="002148CE">
        <w:rPr>
          <w:b/>
          <w:color w:val="auto"/>
          <w:sz w:val="23"/>
          <w:szCs w:val="23"/>
        </w:rPr>
        <w:t>Трудоемкость освоения программы</w:t>
      </w:r>
      <w:r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>«Телеоператор»</w:t>
      </w:r>
      <w:r>
        <w:rPr>
          <w:color w:val="auto"/>
          <w:sz w:val="23"/>
          <w:szCs w:val="23"/>
        </w:rPr>
        <w:t xml:space="preserve">  составляет </w:t>
      </w:r>
      <w:r w:rsidR="00E1027C">
        <w:rPr>
          <w:color w:val="auto"/>
          <w:sz w:val="23"/>
          <w:szCs w:val="23"/>
        </w:rPr>
        <w:t>756</w:t>
      </w:r>
      <w:r>
        <w:rPr>
          <w:color w:val="auto"/>
          <w:sz w:val="23"/>
          <w:szCs w:val="23"/>
        </w:rPr>
        <w:t xml:space="preserve">  академических час</w:t>
      </w:r>
      <w:r w:rsidR="00E1027C">
        <w:rPr>
          <w:color w:val="auto"/>
          <w:sz w:val="23"/>
          <w:szCs w:val="23"/>
        </w:rPr>
        <w:t>ов</w:t>
      </w:r>
      <w:r>
        <w:rPr>
          <w:color w:val="auto"/>
          <w:sz w:val="23"/>
          <w:szCs w:val="23"/>
        </w:rPr>
        <w:t>.</w:t>
      </w:r>
    </w:p>
    <w:p w14:paraId="70F0F560" w14:textId="77777777" w:rsidR="002148CE" w:rsidRDefault="002148CE" w:rsidP="002148CE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67026A85" w14:textId="77777777" w:rsidR="002148CE" w:rsidRPr="001D5426" w:rsidRDefault="002148CE" w:rsidP="002148CE">
      <w:pPr>
        <w:pStyle w:val="s1"/>
        <w:shd w:val="clear" w:color="auto" w:fill="FFFFFF"/>
        <w:ind w:left="720"/>
        <w:jc w:val="both"/>
        <w:rPr>
          <w:color w:val="000000"/>
        </w:rPr>
      </w:pPr>
    </w:p>
    <w:sectPr w:rsidR="002148CE" w:rsidRPr="001D5426" w:rsidSect="00B949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A9C"/>
    <w:multiLevelType w:val="multilevel"/>
    <w:tmpl w:val="B0D8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FF1AAF"/>
    <w:multiLevelType w:val="hybridMultilevel"/>
    <w:tmpl w:val="B756DB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CB5A1B"/>
    <w:multiLevelType w:val="hybridMultilevel"/>
    <w:tmpl w:val="F04E6CDA"/>
    <w:lvl w:ilvl="0" w:tplc="D55CC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0320"/>
    <w:multiLevelType w:val="hybridMultilevel"/>
    <w:tmpl w:val="25B28870"/>
    <w:lvl w:ilvl="0" w:tplc="D55CC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1749"/>
    <w:multiLevelType w:val="hybridMultilevel"/>
    <w:tmpl w:val="FB24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3CED"/>
    <w:multiLevelType w:val="hybridMultilevel"/>
    <w:tmpl w:val="74AA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1841"/>
    <w:multiLevelType w:val="hybridMultilevel"/>
    <w:tmpl w:val="3178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57DD7"/>
    <w:multiLevelType w:val="hybridMultilevel"/>
    <w:tmpl w:val="C5BC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30BFB"/>
    <w:multiLevelType w:val="hybridMultilevel"/>
    <w:tmpl w:val="8FD0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C6243"/>
    <w:multiLevelType w:val="hybridMultilevel"/>
    <w:tmpl w:val="D32E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70950"/>
    <w:multiLevelType w:val="hybridMultilevel"/>
    <w:tmpl w:val="EB6E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C7597"/>
    <w:multiLevelType w:val="hybridMultilevel"/>
    <w:tmpl w:val="F7E6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60CB9"/>
    <w:multiLevelType w:val="hybridMultilevel"/>
    <w:tmpl w:val="9D26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C601A"/>
    <w:multiLevelType w:val="hybridMultilevel"/>
    <w:tmpl w:val="46C0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7402E"/>
    <w:multiLevelType w:val="hybridMultilevel"/>
    <w:tmpl w:val="E22896D4"/>
    <w:lvl w:ilvl="0" w:tplc="041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5" w15:restartNumberingAfterBreak="0">
    <w:nsid w:val="3B0157B1"/>
    <w:multiLevelType w:val="hybridMultilevel"/>
    <w:tmpl w:val="C4F6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93125"/>
    <w:multiLevelType w:val="hybridMultilevel"/>
    <w:tmpl w:val="1D58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05225"/>
    <w:multiLevelType w:val="hybridMultilevel"/>
    <w:tmpl w:val="1C2C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530C2"/>
    <w:multiLevelType w:val="hybridMultilevel"/>
    <w:tmpl w:val="6E2E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A58C2"/>
    <w:multiLevelType w:val="hybridMultilevel"/>
    <w:tmpl w:val="BB88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A03D7"/>
    <w:multiLevelType w:val="hybridMultilevel"/>
    <w:tmpl w:val="A248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D6A6F"/>
    <w:multiLevelType w:val="hybridMultilevel"/>
    <w:tmpl w:val="CE96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042A3"/>
    <w:multiLevelType w:val="hybridMultilevel"/>
    <w:tmpl w:val="CB7A8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367D4"/>
    <w:multiLevelType w:val="hybridMultilevel"/>
    <w:tmpl w:val="E6C0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406C8"/>
    <w:multiLevelType w:val="hybridMultilevel"/>
    <w:tmpl w:val="7056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5347D"/>
    <w:multiLevelType w:val="hybridMultilevel"/>
    <w:tmpl w:val="E2FE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D170F"/>
    <w:multiLevelType w:val="hybridMultilevel"/>
    <w:tmpl w:val="3208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405BE"/>
    <w:multiLevelType w:val="hybridMultilevel"/>
    <w:tmpl w:val="EEEC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80E72"/>
    <w:multiLevelType w:val="hybridMultilevel"/>
    <w:tmpl w:val="A8CA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75063"/>
    <w:multiLevelType w:val="hybridMultilevel"/>
    <w:tmpl w:val="50F898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C3C4DEE"/>
    <w:multiLevelType w:val="hybridMultilevel"/>
    <w:tmpl w:val="AC48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74613"/>
    <w:multiLevelType w:val="hybridMultilevel"/>
    <w:tmpl w:val="FA68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10"/>
  </w:num>
  <w:num w:numId="7">
    <w:abstractNumId w:val="4"/>
  </w:num>
  <w:num w:numId="8">
    <w:abstractNumId w:val="29"/>
  </w:num>
  <w:num w:numId="9">
    <w:abstractNumId w:val="8"/>
  </w:num>
  <w:num w:numId="10">
    <w:abstractNumId w:val="19"/>
  </w:num>
  <w:num w:numId="11">
    <w:abstractNumId w:val="18"/>
  </w:num>
  <w:num w:numId="12">
    <w:abstractNumId w:val="25"/>
  </w:num>
  <w:num w:numId="13">
    <w:abstractNumId w:val="24"/>
  </w:num>
  <w:num w:numId="14">
    <w:abstractNumId w:val="21"/>
  </w:num>
  <w:num w:numId="15">
    <w:abstractNumId w:val="27"/>
  </w:num>
  <w:num w:numId="16">
    <w:abstractNumId w:val="17"/>
  </w:num>
  <w:num w:numId="17">
    <w:abstractNumId w:val="7"/>
  </w:num>
  <w:num w:numId="18">
    <w:abstractNumId w:val="28"/>
  </w:num>
  <w:num w:numId="19">
    <w:abstractNumId w:val="20"/>
  </w:num>
  <w:num w:numId="20">
    <w:abstractNumId w:val="26"/>
  </w:num>
  <w:num w:numId="21">
    <w:abstractNumId w:val="22"/>
  </w:num>
  <w:num w:numId="22">
    <w:abstractNumId w:val="12"/>
  </w:num>
  <w:num w:numId="23">
    <w:abstractNumId w:val="15"/>
  </w:num>
  <w:num w:numId="24">
    <w:abstractNumId w:val="5"/>
  </w:num>
  <w:num w:numId="25">
    <w:abstractNumId w:val="13"/>
  </w:num>
  <w:num w:numId="26">
    <w:abstractNumId w:val="30"/>
  </w:num>
  <w:num w:numId="27">
    <w:abstractNumId w:val="3"/>
  </w:num>
  <w:num w:numId="28">
    <w:abstractNumId w:val="2"/>
  </w:num>
  <w:num w:numId="29">
    <w:abstractNumId w:val="14"/>
  </w:num>
  <w:num w:numId="30">
    <w:abstractNumId w:val="16"/>
  </w:num>
  <w:num w:numId="31">
    <w:abstractNumId w:val="3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5A0"/>
    <w:rsid w:val="000F0A71"/>
    <w:rsid w:val="001A0CE0"/>
    <w:rsid w:val="001D5426"/>
    <w:rsid w:val="002148CE"/>
    <w:rsid w:val="0025021F"/>
    <w:rsid w:val="00304F07"/>
    <w:rsid w:val="003A0A2C"/>
    <w:rsid w:val="00461222"/>
    <w:rsid w:val="004A3643"/>
    <w:rsid w:val="004D22E3"/>
    <w:rsid w:val="00520C3C"/>
    <w:rsid w:val="005C4DB1"/>
    <w:rsid w:val="00613012"/>
    <w:rsid w:val="0066714C"/>
    <w:rsid w:val="00667812"/>
    <w:rsid w:val="00667C5F"/>
    <w:rsid w:val="006C2BA1"/>
    <w:rsid w:val="00777B17"/>
    <w:rsid w:val="007D35A0"/>
    <w:rsid w:val="008E5124"/>
    <w:rsid w:val="009C57D3"/>
    <w:rsid w:val="009D774B"/>
    <w:rsid w:val="00A44465"/>
    <w:rsid w:val="00B55BE9"/>
    <w:rsid w:val="00B56CF5"/>
    <w:rsid w:val="00B949D2"/>
    <w:rsid w:val="00CA7875"/>
    <w:rsid w:val="00D82892"/>
    <w:rsid w:val="00DA75A1"/>
    <w:rsid w:val="00DB1242"/>
    <w:rsid w:val="00E1027C"/>
    <w:rsid w:val="00E30E34"/>
    <w:rsid w:val="00F07C8E"/>
    <w:rsid w:val="00F303ED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570C"/>
  <w15:docId w15:val="{6CFF6CC4-F801-4111-AA75-5B2D9243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9D2"/>
    <w:pPr>
      <w:spacing w:after="300" w:line="0" w:lineRule="auto"/>
      <w:outlineLvl w:val="0"/>
    </w:pPr>
    <w:rPr>
      <w:rFonts w:ascii="Arial" w:eastAsia="Times New Roman" w:hAnsi="Arial" w:cs="Arial"/>
      <w:color w:val="313940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B949D2"/>
    <w:pPr>
      <w:spacing w:after="300" w:line="0" w:lineRule="auto"/>
      <w:outlineLvl w:val="1"/>
    </w:pPr>
    <w:rPr>
      <w:rFonts w:ascii="Arial" w:eastAsia="Times New Roman" w:hAnsi="Arial" w:cs="Arial"/>
      <w:color w:val="313940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9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B9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949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49D2"/>
    <w:rPr>
      <w:rFonts w:ascii="Arial" w:eastAsia="Times New Roman" w:hAnsi="Arial" w:cs="Arial"/>
      <w:color w:val="313940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9D2"/>
    <w:rPr>
      <w:rFonts w:ascii="Arial" w:eastAsia="Times New Roman" w:hAnsi="Arial" w:cs="Arial"/>
      <w:color w:val="313940"/>
      <w:sz w:val="39"/>
      <w:szCs w:val="39"/>
      <w:lang w:eastAsia="ru-RU"/>
    </w:rPr>
  </w:style>
  <w:style w:type="paragraph" w:styleId="a7">
    <w:name w:val="Normal (Web)"/>
    <w:basedOn w:val="a"/>
    <w:uiPriority w:val="99"/>
    <w:semiHidden/>
    <w:unhideWhenUsed/>
    <w:rsid w:val="00B9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49D2"/>
    <w:rPr>
      <w:b/>
      <w:bCs/>
    </w:rPr>
  </w:style>
  <w:style w:type="character" w:styleId="a9">
    <w:name w:val="Hyperlink"/>
    <w:basedOn w:val="a0"/>
    <w:uiPriority w:val="99"/>
    <w:unhideWhenUsed/>
    <w:rsid w:val="00B949D2"/>
    <w:rPr>
      <w:color w:val="0000FF"/>
      <w:u w:val="single"/>
    </w:rPr>
  </w:style>
  <w:style w:type="paragraph" w:customStyle="1" w:styleId="s1">
    <w:name w:val="s_1"/>
    <w:basedOn w:val="a"/>
    <w:rsid w:val="00B9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9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9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14"/>
    <w:basedOn w:val="a0"/>
    <w:rsid w:val="00B949D2"/>
  </w:style>
  <w:style w:type="character" w:customStyle="1" w:styleId="s91">
    <w:name w:val="s_91"/>
    <w:basedOn w:val="a0"/>
    <w:rsid w:val="004A3643"/>
  </w:style>
  <w:style w:type="paragraph" w:customStyle="1" w:styleId="p1">
    <w:name w:val="p1"/>
    <w:basedOn w:val="a"/>
    <w:rsid w:val="00CA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A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A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A7875"/>
  </w:style>
  <w:style w:type="paragraph" w:customStyle="1" w:styleId="p8">
    <w:name w:val="p8"/>
    <w:basedOn w:val="a"/>
    <w:rsid w:val="00CA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46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684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1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0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0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7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7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8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9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6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62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2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2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5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6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0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2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0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6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4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24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8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2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5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1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6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9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4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6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4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8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6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2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0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7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6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1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0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77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2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1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6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69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5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6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0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1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4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6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05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63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072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272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54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29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4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30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164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279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2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76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3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5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2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7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04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37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78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63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0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0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2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9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6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26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1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0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58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049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0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9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74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35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13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3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49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0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48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271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16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7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6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2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0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8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3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96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5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2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03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3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2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9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1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9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23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5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4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41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6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5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8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8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0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6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5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46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4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1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1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8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4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6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9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8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7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6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1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2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7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5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6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6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9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1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093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5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9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3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25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7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59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2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63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1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5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2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94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72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5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8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21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469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860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625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4B18-24FE-4B79-B3AF-4F06D174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Ивент менеджмент. Дистанционное образование</cp:lastModifiedBy>
  <cp:revision>14</cp:revision>
  <cp:lastPrinted>2018-06-13T08:36:00Z</cp:lastPrinted>
  <dcterms:created xsi:type="dcterms:W3CDTF">2018-04-18T14:22:00Z</dcterms:created>
  <dcterms:modified xsi:type="dcterms:W3CDTF">2021-04-19T14:14:00Z</dcterms:modified>
</cp:coreProperties>
</file>